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5D" w:rsidRPr="00DE6B68" w:rsidRDefault="00F92C5D" w:rsidP="00F92C5D">
      <w:pPr>
        <w:pStyle w:val="Heading2"/>
        <w:rPr>
          <w:color w:val="000000"/>
        </w:rPr>
      </w:pPr>
      <w:bookmarkStart w:id="0" w:name="_Toc1373554"/>
      <w:bookmarkStart w:id="1" w:name="_GoBack"/>
      <w:bookmarkEnd w:id="1"/>
      <w:r w:rsidRPr="00DE6B68">
        <w:rPr>
          <w:color w:val="000000"/>
        </w:rPr>
        <w:t>Second Unitarian Church of Omaha</w:t>
      </w:r>
    </w:p>
    <w:bookmarkEnd w:id="0"/>
    <w:p w:rsidR="00F92C5D" w:rsidRDefault="00F92C5D" w:rsidP="00F92C5D">
      <w:pPr>
        <w:pStyle w:val="line"/>
        <w:rPr>
          <w:rFonts w:ascii="Calibri Light" w:hAnsi="Calibri Light"/>
          <w:b/>
          <w:bCs/>
          <w:i/>
          <w:iCs/>
          <w:snapToGrid/>
          <w:color w:val="000000"/>
          <w:sz w:val="28"/>
          <w:szCs w:val="28"/>
        </w:rPr>
      </w:pPr>
      <w:r w:rsidRPr="00F92C5D">
        <w:rPr>
          <w:rFonts w:ascii="Calibri Light" w:hAnsi="Calibri Light"/>
          <w:b/>
          <w:bCs/>
          <w:i/>
          <w:iCs/>
          <w:snapToGrid/>
          <w:color w:val="000000"/>
          <w:sz w:val="28"/>
          <w:szCs w:val="28"/>
        </w:rPr>
        <w:t>Investment Philosophy of the</w:t>
      </w:r>
      <w:r>
        <w:rPr>
          <w:rFonts w:ascii="Calibri Light" w:hAnsi="Calibri Light"/>
          <w:b/>
          <w:bCs/>
          <w:i/>
          <w:iCs/>
          <w:snapToGrid/>
          <w:color w:val="000000"/>
          <w:sz w:val="28"/>
          <w:szCs w:val="28"/>
        </w:rPr>
        <w:t xml:space="preserve"> </w:t>
      </w:r>
      <w:r w:rsidRPr="00F92C5D">
        <w:rPr>
          <w:rFonts w:ascii="Calibri Light" w:hAnsi="Calibri Light"/>
          <w:b/>
          <w:bCs/>
          <w:i/>
          <w:iCs/>
          <w:snapToGrid/>
          <w:color w:val="000000"/>
          <w:sz w:val="28"/>
          <w:szCs w:val="28"/>
        </w:rPr>
        <w:t>Endowment Committee</w:t>
      </w:r>
    </w:p>
    <w:p w:rsidR="00F92C5D" w:rsidRPr="00DE6B68" w:rsidRDefault="00F92C5D" w:rsidP="00F92C5D">
      <w:pPr>
        <w:pStyle w:val="line"/>
        <w:rPr>
          <w:color w:val="000000"/>
          <w:szCs w:val="24"/>
        </w:rPr>
      </w:pPr>
      <w:r w:rsidRPr="00DE6B68">
        <w:rPr>
          <w:color w:val="000000"/>
          <w:szCs w:val="24"/>
        </w:rPr>
        <w:t>Date of Policy Approval: July 2016</w:t>
      </w:r>
    </w:p>
    <w:p w:rsidR="00F92C5D" w:rsidRPr="00DE6B68" w:rsidRDefault="00F92C5D" w:rsidP="00F92C5D">
      <w:pPr>
        <w:pStyle w:val="line"/>
        <w:rPr>
          <w:color w:val="000000"/>
          <w:szCs w:val="24"/>
        </w:rPr>
      </w:pPr>
      <w:r w:rsidRPr="00DE6B68">
        <w:rPr>
          <w:color w:val="000000"/>
          <w:szCs w:val="24"/>
        </w:rPr>
        <w:t>Policy Owner: Endowment Committee</w:t>
      </w:r>
    </w:p>
    <w:p w:rsidR="0074797A" w:rsidRDefault="0074797A" w:rsidP="00E64A49">
      <w:pPr>
        <w:jc w:val="center"/>
        <w:rPr>
          <w:b/>
          <w:sz w:val="24"/>
          <w:szCs w:val="24"/>
        </w:rPr>
      </w:pPr>
    </w:p>
    <w:p w:rsidR="00E64A49" w:rsidRDefault="00020396" w:rsidP="00E64A4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Key Considerations</w:t>
      </w:r>
    </w:p>
    <w:p w:rsidR="00020396" w:rsidRDefault="00020396" w:rsidP="000203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396">
        <w:rPr>
          <w:b/>
          <w:sz w:val="24"/>
          <w:szCs w:val="24"/>
        </w:rPr>
        <w:t>Appreciation (fund growth)</w:t>
      </w:r>
      <w:r>
        <w:rPr>
          <w:sz w:val="24"/>
          <w:szCs w:val="24"/>
        </w:rPr>
        <w:t>:  Achieved primarily by focusing on investments in the equity markets.  What, if any, portion of the fund will be invested in non-equity markets is an open point.</w:t>
      </w:r>
    </w:p>
    <w:p w:rsidR="00020396" w:rsidRPr="00020396" w:rsidRDefault="00020396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0396">
        <w:rPr>
          <w:b/>
          <w:sz w:val="24"/>
          <w:szCs w:val="24"/>
        </w:rPr>
        <w:t xml:space="preserve">Diversification: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Achieved through the selection of mutual funds that index a broad sector of the market.  The number of funds is an open point.</w:t>
      </w:r>
      <w:r w:rsidR="009D38FF">
        <w:rPr>
          <w:sz w:val="24"/>
          <w:szCs w:val="24"/>
        </w:rPr>
        <w:t xml:space="preserve"> </w:t>
      </w:r>
    </w:p>
    <w:p w:rsidR="00020396" w:rsidRPr="00020396" w:rsidRDefault="00020396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Rebalancing:</w:t>
      </w:r>
      <w:r>
        <w:rPr>
          <w:sz w:val="24"/>
          <w:szCs w:val="24"/>
        </w:rPr>
        <w:t xml:space="preserve"> </w:t>
      </w:r>
      <w:r w:rsidR="00DF4051">
        <w:rPr>
          <w:sz w:val="24"/>
          <w:szCs w:val="24"/>
        </w:rPr>
        <w:t>Balance investments to preserve principal and mitigate risk.</w:t>
      </w:r>
      <w:r w:rsidR="00DF4051">
        <w:rPr>
          <w:b/>
          <w:sz w:val="24"/>
          <w:szCs w:val="24"/>
        </w:rPr>
        <w:t xml:space="preserve"> </w:t>
      </w:r>
      <w:r w:rsidR="00DF4051">
        <w:rPr>
          <w:sz w:val="24"/>
          <w:szCs w:val="24"/>
        </w:rPr>
        <w:t>Continue with Vanguard mutual fund or some other index fund.</w:t>
      </w:r>
    </w:p>
    <w:p w:rsidR="00020396" w:rsidRPr="00020396" w:rsidRDefault="00020396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Loss of Principal:</w:t>
      </w:r>
      <w:r>
        <w:rPr>
          <w:sz w:val="24"/>
          <w:szCs w:val="24"/>
        </w:rPr>
        <w:t xml:space="preserve"> Some “on paper” loss of principal will be tolerated in the initial years of the fund.</w:t>
      </w:r>
    </w:p>
    <w:p w:rsidR="00020396" w:rsidRPr="009D38FF" w:rsidRDefault="00020396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Expenses:</w:t>
      </w:r>
      <w:r>
        <w:rPr>
          <w:sz w:val="24"/>
          <w:szCs w:val="24"/>
        </w:rPr>
        <w:t xml:space="preserve"> Strong direction to keep these to a minimum.  </w:t>
      </w:r>
      <w:r w:rsidR="009D38FF">
        <w:rPr>
          <w:sz w:val="24"/>
          <w:szCs w:val="24"/>
        </w:rPr>
        <w:t>Most desirable would be funds that had expense ratios at or under one-half of one percent.</w:t>
      </w:r>
    </w:p>
    <w:p w:rsidR="009D38FF" w:rsidRPr="009D38FF" w:rsidRDefault="009D38FF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Responsibility:</w:t>
      </w:r>
      <w:r>
        <w:rPr>
          <w:sz w:val="24"/>
          <w:szCs w:val="24"/>
        </w:rPr>
        <w:t xml:space="preserve"> Will give priority for new investments to socially responsible funds; may not necessarily sell current holdings to achieve all socially responsible investments.</w:t>
      </w:r>
    </w:p>
    <w:p w:rsidR="009D38FF" w:rsidRPr="009D38FF" w:rsidRDefault="009D38FF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“Non-cash Gifts”: </w:t>
      </w:r>
      <w:r>
        <w:rPr>
          <w:sz w:val="24"/>
          <w:szCs w:val="24"/>
        </w:rPr>
        <w:t>Recommend that all stock would be sold upon receipt.  Use the policies and procedures in place in the Finance Committee for sales.</w:t>
      </w:r>
    </w:p>
    <w:p w:rsidR="009D38FF" w:rsidRPr="003C00E5" w:rsidRDefault="003C00E5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Advisors: </w:t>
      </w:r>
      <w:r>
        <w:rPr>
          <w:sz w:val="24"/>
          <w:szCs w:val="24"/>
        </w:rPr>
        <w:t>Keeping in line with our expense philosophy and UUA guidelines, no professional advisor will be sought at this time. This can be revisited when the fund reaches $</w:t>
      </w:r>
      <w:r w:rsidR="009F1B8E">
        <w:rPr>
          <w:sz w:val="24"/>
          <w:szCs w:val="24"/>
        </w:rPr>
        <w:t>3</w:t>
      </w:r>
      <w:r>
        <w:rPr>
          <w:sz w:val="24"/>
          <w:szCs w:val="24"/>
        </w:rPr>
        <w:t>00,000 and/or every three years.</w:t>
      </w:r>
    </w:p>
    <w:p w:rsidR="003C00E5" w:rsidRPr="00396F19" w:rsidRDefault="003C00E5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Institution Selection:</w:t>
      </w:r>
      <w:r>
        <w:rPr>
          <w:sz w:val="24"/>
          <w:szCs w:val="24"/>
        </w:rPr>
        <w:t xml:space="preserve"> Research moved the committee to choose Vanguard.  </w:t>
      </w:r>
      <w:r w:rsidR="00396F19">
        <w:rPr>
          <w:sz w:val="24"/>
          <w:szCs w:val="24"/>
        </w:rPr>
        <w:t>A</w:t>
      </w:r>
      <w:r>
        <w:rPr>
          <w:sz w:val="24"/>
          <w:szCs w:val="24"/>
        </w:rPr>
        <w:t>nother option is the UUA Common Endowment Fund.</w:t>
      </w:r>
    </w:p>
    <w:p w:rsidR="00396F19" w:rsidRPr="00A24610" w:rsidRDefault="00396F19" w:rsidP="00020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 Selection: </w:t>
      </w:r>
      <w:r w:rsidR="00276AFF">
        <w:rPr>
          <w:sz w:val="24"/>
          <w:szCs w:val="24"/>
        </w:rPr>
        <w:t xml:space="preserve">Performance will </w:t>
      </w:r>
      <w:r w:rsidR="00D51FD7">
        <w:rPr>
          <w:sz w:val="24"/>
          <w:szCs w:val="24"/>
        </w:rPr>
        <w:t>be monitored and funds changed as warranted.</w:t>
      </w:r>
    </w:p>
    <w:p w:rsidR="00A24610" w:rsidRDefault="00A24610" w:rsidP="00A24610">
      <w:pPr>
        <w:rPr>
          <w:sz w:val="24"/>
          <w:szCs w:val="24"/>
        </w:rPr>
      </w:pPr>
    </w:p>
    <w:p w:rsidR="00A24610" w:rsidRDefault="00A24610" w:rsidP="00A2461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Processes</w:t>
      </w:r>
    </w:p>
    <w:p w:rsidR="00A24610" w:rsidRDefault="00A24610" w:rsidP="00A246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Decisions will be made according to the Investment Policy</w:t>
      </w:r>
    </w:p>
    <w:p w:rsidR="00A24610" w:rsidRDefault="00A24610" w:rsidP="00A246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Endowment Committee will designate one member</w:t>
      </w:r>
      <w:r w:rsidR="009C726F">
        <w:rPr>
          <w:sz w:val="24"/>
          <w:szCs w:val="24"/>
        </w:rPr>
        <w:t xml:space="preserve"> </w:t>
      </w:r>
      <w:r>
        <w:rPr>
          <w:sz w:val="24"/>
          <w:szCs w:val="24"/>
        </w:rPr>
        <w:t>to execute transactions for the committee.</w:t>
      </w:r>
    </w:p>
    <w:p w:rsidR="00A24610" w:rsidRPr="00594529" w:rsidRDefault="00A24610" w:rsidP="00A246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Endowment Committee will designate one member to have access to the online investment accounts and this person will complete monthly investment reports </w:t>
      </w:r>
      <w:r w:rsidR="009F5C5B" w:rsidRPr="00594529">
        <w:rPr>
          <w:sz w:val="24"/>
          <w:szCs w:val="24"/>
        </w:rPr>
        <w:t>on the first business day of the next month</w:t>
      </w:r>
      <w:r w:rsidRPr="00594529">
        <w:rPr>
          <w:sz w:val="24"/>
          <w:szCs w:val="24"/>
        </w:rPr>
        <w:t>.</w:t>
      </w:r>
    </w:p>
    <w:p w:rsidR="00A24610" w:rsidRDefault="00A24610" w:rsidP="00A246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Endowment Committee will establish a plan for raising funds and/or enlisting additional donors to become Full Circle members by including Second Unitarian in their estate planning.</w:t>
      </w:r>
    </w:p>
    <w:p w:rsidR="009F1B8E" w:rsidRPr="00A24610" w:rsidRDefault="009F1B8E" w:rsidP="00A246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investment philosophy annually.</w:t>
      </w:r>
    </w:p>
    <w:sectPr w:rsidR="009F1B8E" w:rsidRPr="00A2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578E"/>
    <w:multiLevelType w:val="hybridMultilevel"/>
    <w:tmpl w:val="55C2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7635E"/>
    <w:multiLevelType w:val="hybridMultilevel"/>
    <w:tmpl w:val="ABE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9"/>
    <w:rsid w:val="00020396"/>
    <w:rsid w:val="000A3E97"/>
    <w:rsid w:val="00276AFF"/>
    <w:rsid w:val="00396F19"/>
    <w:rsid w:val="003C00E5"/>
    <w:rsid w:val="003C6F1E"/>
    <w:rsid w:val="00594529"/>
    <w:rsid w:val="00596876"/>
    <w:rsid w:val="00675F6F"/>
    <w:rsid w:val="0074797A"/>
    <w:rsid w:val="008A22E3"/>
    <w:rsid w:val="009C726F"/>
    <w:rsid w:val="009D38FF"/>
    <w:rsid w:val="009F1B8E"/>
    <w:rsid w:val="009F5C5B"/>
    <w:rsid w:val="00A24610"/>
    <w:rsid w:val="00D51FD7"/>
    <w:rsid w:val="00DF4051"/>
    <w:rsid w:val="00DF73EF"/>
    <w:rsid w:val="00E64A49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4C96E-AE01-4193-9741-DE33218F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92C5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92C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ine">
    <w:name w:val="line"/>
    <w:basedOn w:val="Normal"/>
    <w:rsid w:val="00F92C5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Cody</dc:creator>
  <cp:keywords/>
  <dc:description/>
  <cp:lastModifiedBy>Clyde Anderson</cp:lastModifiedBy>
  <cp:revision>4</cp:revision>
  <cp:lastPrinted>2016-08-21T21:09:00Z</cp:lastPrinted>
  <dcterms:created xsi:type="dcterms:W3CDTF">2016-08-21T21:07:00Z</dcterms:created>
  <dcterms:modified xsi:type="dcterms:W3CDTF">2016-08-21T21:09:00Z</dcterms:modified>
</cp:coreProperties>
</file>